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ED72" w14:textId="7F035B9F" w:rsidR="00B804FE" w:rsidRDefault="000F348A">
      <w:pPr>
        <w:pStyle w:val="BodyText"/>
        <w:rPr>
          <w:rFonts w:ascii="Times New Roman"/>
          <w:sz w:val="20"/>
        </w:rPr>
      </w:pPr>
      <w:r w:rsidRPr="000F348A">
        <w:rPr>
          <w:noProof/>
          <w:highlight w:val="yellow"/>
        </w:rPr>
        <w:drawing>
          <wp:anchor distT="0" distB="0" distL="0" distR="0" simplePos="0" relativeHeight="251658752" behindDoc="1" locked="0" layoutInCell="1" allowOverlap="1" wp14:anchorId="162C209C" wp14:editId="1C754FC5">
            <wp:simplePos x="0" y="0"/>
            <wp:positionH relativeFrom="page">
              <wp:posOffset>438785</wp:posOffset>
            </wp:positionH>
            <wp:positionV relativeFrom="paragraph">
              <wp:posOffset>71755</wp:posOffset>
            </wp:positionV>
            <wp:extent cx="4959096" cy="71658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9096" cy="7165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01BBC" w14:textId="77777777" w:rsidR="00B804FE" w:rsidRDefault="00B804FE">
      <w:pPr>
        <w:pStyle w:val="BodyText"/>
        <w:rPr>
          <w:rFonts w:ascii="Times New Roman"/>
          <w:sz w:val="20"/>
        </w:rPr>
      </w:pPr>
    </w:p>
    <w:p w14:paraId="38F4D5A9" w14:textId="77777777" w:rsidR="00B804FE" w:rsidRDefault="00B804FE">
      <w:pPr>
        <w:pStyle w:val="BodyText"/>
        <w:rPr>
          <w:rFonts w:ascii="Times New Roman"/>
          <w:sz w:val="20"/>
        </w:rPr>
      </w:pPr>
    </w:p>
    <w:p w14:paraId="23B5907C" w14:textId="77777777" w:rsidR="00B804FE" w:rsidRDefault="00B804FE">
      <w:pPr>
        <w:pStyle w:val="BodyText"/>
        <w:rPr>
          <w:rFonts w:ascii="Times New Roman"/>
          <w:sz w:val="20"/>
        </w:rPr>
      </w:pPr>
    </w:p>
    <w:p w14:paraId="0774A198" w14:textId="77777777" w:rsidR="00B804FE" w:rsidRDefault="00B804FE">
      <w:pPr>
        <w:pStyle w:val="BodyText"/>
        <w:rPr>
          <w:rFonts w:ascii="Times New Roman"/>
          <w:sz w:val="20"/>
        </w:rPr>
      </w:pPr>
    </w:p>
    <w:p w14:paraId="2067EEB5" w14:textId="77777777" w:rsidR="00B804FE" w:rsidRDefault="00B804FE">
      <w:pPr>
        <w:pStyle w:val="BodyText"/>
        <w:rPr>
          <w:rFonts w:ascii="Times New Roman"/>
          <w:sz w:val="20"/>
        </w:rPr>
      </w:pPr>
    </w:p>
    <w:p w14:paraId="4E3D48DB" w14:textId="77777777" w:rsidR="00B804FE" w:rsidRDefault="00B804FE">
      <w:pPr>
        <w:pStyle w:val="BodyText"/>
        <w:rPr>
          <w:rFonts w:ascii="Times New Roman"/>
          <w:sz w:val="20"/>
        </w:rPr>
      </w:pPr>
    </w:p>
    <w:p w14:paraId="2020CEC1" w14:textId="77777777" w:rsidR="00B804FE" w:rsidRDefault="00B804FE">
      <w:pPr>
        <w:pStyle w:val="BodyText"/>
        <w:spacing w:before="8"/>
        <w:rPr>
          <w:rFonts w:ascii="Times New Roman"/>
          <w:sz w:val="22"/>
        </w:rPr>
      </w:pPr>
    </w:p>
    <w:p w14:paraId="25A889BF" w14:textId="0AFCF7A9" w:rsidR="00B804FE" w:rsidRDefault="003B2319">
      <w:pPr>
        <w:spacing w:before="99"/>
        <w:ind w:left="106"/>
        <w:rPr>
          <w:b/>
          <w:sz w:val="33"/>
        </w:rPr>
      </w:pPr>
      <w:r>
        <w:rPr>
          <w:rFonts w:cs="Arial"/>
          <w:color w:val="FFFFFF" w:themeColor="background1"/>
          <w:sz w:val="101"/>
          <w:szCs w:val="101"/>
        </w:rPr>
        <w:t>2</w:t>
      </w:r>
      <w:r w:rsidR="006277D5">
        <w:rPr>
          <w:rFonts w:cs="Arial"/>
          <w:color w:val="FFFFFF" w:themeColor="background1"/>
          <w:sz w:val="101"/>
          <w:szCs w:val="101"/>
        </w:rPr>
        <w:t>4</w:t>
      </w:r>
      <w:r>
        <w:rPr>
          <w:rFonts w:cs="Arial"/>
          <w:color w:val="FFFFFF" w:themeColor="background1"/>
          <w:sz w:val="101"/>
          <w:szCs w:val="101"/>
        </w:rPr>
        <w:t>/2</w:t>
      </w:r>
      <w:r w:rsidR="006277D5">
        <w:rPr>
          <w:rFonts w:cs="Arial"/>
          <w:color w:val="FFFFFF" w:themeColor="background1"/>
          <w:sz w:val="101"/>
          <w:szCs w:val="101"/>
        </w:rPr>
        <w:t>5</w:t>
      </w:r>
      <w:r w:rsidR="003C2A60">
        <w:rPr>
          <w:b/>
          <w:color w:val="FFFFFF"/>
          <w:spacing w:val="-15"/>
          <w:sz w:val="33"/>
        </w:rPr>
        <w:t xml:space="preserve">TWO-PART </w:t>
      </w:r>
      <w:r w:rsidR="003C2A60">
        <w:rPr>
          <w:b/>
          <w:color w:val="FFFFFF"/>
          <w:spacing w:val="-14"/>
          <w:sz w:val="33"/>
        </w:rPr>
        <w:t xml:space="preserve">WATER </w:t>
      </w:r>
      <w:r w:rsidR="003C2A60">
        <w:rPr>
          <w:b/>
          <w:color w:val="FFFFFF"/>
          <w:spacing w:val="-15"/>
          <w:sz w:val="33"/>
        </w:rPr>
        <w:t xml:space="preserve">TARIFF </w:t>
      </w:r>
      <w:r w:rsidR="003C2A60">
        <w:rPr>
          <w:b/>
          <w:color w:val="FFFFFF"/>
          <w:spacing w:val="-14"/>
          <w:sz w:val="33"/>
        </w:rPr>
        <w:t>NOTICE</w:t>
      </w:r>
    </w:p>
    <w:p w14:paraId="4DB930BD" w14:textId="77777777" w:rsidR="00B804FE" w:rsidRDefault="003C2A60" w:rsidP="000F348A">
      <w:pPr>
        <w:pStyle w:val="BodyText"/>
        <w:spacing w:before="303" w:line="276" w:lineRule="auto"/>
        <w:ind w:left="370" w:right="2041"/>
        <w:jc w:val="both"/>
      </w:pPr>
      <w:r>
        <w:t>Western Downs Regional Council wishes to notify its customers of amendments to its water pricing structure with the utilization of a two-part water tariff across all water supply schemes to offer a common pricing strategy to all</w:t>
      </w:r>
      <w:r>
        <w:rPr>
          <w:spacing w:val="-6"/>
        </w:rPr>
        <w:t xml:space="preserve"> </w:t>
      </w:r>
      <w:r>
        <w:t>communities.</w:t>
      </w:r>
    </w:p>
    <w:p w14:paraId="548FA005" w14:textId="56416E8C" w:rsidR="00B804FE" w:rsidRDefault="003C2A60" w:rsidP="000F348A">
      <w:pPr>
        <w:pStyle w:val="BodyText"/>
        <w:spacing w:before="115" w:line="276" w:lineRule="auto"/>
        <w:ind w:left="370" w:right="2041"/>
        <w:jc w:val="both"/>
      </w:pPr>
      <w:r>
        <w:t xml:space="preserve">An annual </w:t>
      </w:r>
      <w:r w:rsidR="00EA3785">
        <w:t>supply</w:t>
      </w:r>
      <w:r>
        <w:t xml:space="preserve"> charge of </w:t>
      </w:r>
      <w:r w:rsidR="00DA73D2">
        <w:rPr>
          <w:rFonts w:cs="Arial"/>
          <w:b/>
        </w:rPr>
        <w:t xml:space="preserve">516.10 </w:t>
      </w:r>
      <w:r>
        <w:t>per</w:t>
      </w:r>
      <w:r w:rsidR="003B2319">
        <w:t xml:space="preserve"> standard (20 mm or 25mm)</w:t>
      </w:r>
      <w:r>
        <w:t xml:space="preserve"> connection, </w:t>
      </w:r>
      <w:r>
        <w:rPr>
          <w:b/>
          <w:sz w:val="20"/>
        </w:rPr>
        <w:t xml:space="preserve">Part A </w:t>
      </w:r>
      <w:r>
        <w:t>of the two-part tariff, is charged through the bi-annual rates notice.</w:t>
      </w:r>
    </w:p>
    <w:p w14:paraId="3296A734" w14:textId="2CDB20BD" w:rsidR="000F348A" w:rsidRDefault="003C2A60" w:rsidP="000F348A">
      <w:pPr>
        <w:pStyle w:val="BodyText"/>
        <w:spacing w:before="110" w:line="276" w:lineRule="auto"/>
        <w:ind w:left="370" w:right="2041"/>
      </w:pPr>
      <w:r>
        <w:rPr>
          <w:b/>
          <w:sz w:val="20"/>
        </w:rPr>
        <w:t xml:space="preserve">Part B </w:t>
      </w:r>
      <w:r>
        <w:t>is the dollar amount calculated on the quantity of water consumed as stated in the standard consumption charges below and as charged through the bi-annual water bill.</w:t>
      </w:r>
    </w:p>
    <w:p w14:paraId="438E5E3C" w14:textId="74776929" w:rsidR="00B804FE" w:rsidRPr="000F348A" w:rsidRDefault="003C2A60" w:rsidP="000F348A">
      <w:pPr>
        <w:tabs>
          <w:tab w:val="left" w:pos="7371"/>
        </w:tabs>
        <w:spacing w:before="240" w:line="276" w:lineRule="auto"/>
        <w:ind w:left="370" w:right="2041"/>
        <w:jc w:val="both"/>
        <w:rPr>
          <w:sz w:val="19"/>
          <w:szCs w:val="19"/>
        </w:rPr>
      </w:pPr>
      <w:r w:rsidRPr="000F348A">
        <w:rPr>
          <w:sz w:val="19"/>
          <w:szCs w:val="19"/>
        </w:rPr>
        <w:t xml:space="preserve">The two-part tariff applies from </w:t>
      </w:r>
      <w:r w:rsidR="003B2319">
        <w:rPr>
          <w:rFonts w:cs="Arial"/>
          <w:sz w:val="19"/>
          <w:szCs w:val="19"/>
        </w:rPr>
        <w:t>1 July 202</w:t>
      </w:r>
      <w:r w:rsidR="004C4354">
        <w:rPr>
          <w:rFonts w:cs="Arial"/>
          <w:sz w:val="19"/>
          <w:szCs w:val="19"/>
        </w:rPr>
        <w:t>4</w:t>
      </w:r>
      <w:r w:rsidR="003B2319">
        <w:rPr>
          <w:rFonts w:cs="Arial"/>
          <w:sz w:val="19"/>
          <w:szCs w:val="19"/>
        </w:rPr>
        <w:t xml:space="preserve"> </w:t>
      </w:r>
      <w:r w:rsidRPr="000F348A">
        <w:rPr>
          <w:sz w:val="19"/>
          <w:szCs w:val="19"/>
        </w:rPr>
        <w:t>and will apply to water consumption in the</w:t>
      </w:r>
      <w:r w:rsidR="000F348A">
        <w:rPr>
          <w:sz w:val="19"/>
          <w:szCs w:val="19"/>
        </w:rPr>
        <w:t xml:space="preserve"> </w:t>
      </w:r>
      <w:r w:rsidR="003B2319">
        <w:rPr>
          <w:rFonts w:cs="Arial"/>
          <w:sz w:val="19"/>
          <w:szCs w:val="19"/>
        </w:rPr>
        <w:t>202</w:t>
      </w:r>
      <w:r w:rsidR="004C4354">
        <w:rPr>
          <w:rFonts w:cs="Arial"/>
          <w:sz w:val="19"/>
          <w:szCs w:val="19"/>
        </w:rPr>
        <w:t>4</w:t>
      </w:r>
      <w:r w:rsidR="003B2319">
        <w:rPr>
          <w:rFonts w:cs="Arial"/>
          <w:sz w:val="19"/>
          <w:szCs w:val="19"/>
        </w:rPr>
        <w:t>/202</w:t>
      </w:r>
      <w:r w:rsidR="004C4354">
        <w:rPr>
          <w:rFonts w:cs="Arial"/>
          <w:sz w:val="19"/>
          <w:szCs w:val="19"/>
        </w:rPr>
        <w:t>5</w:t>
      </w:r>
      <w:r w:rsidRPr="000F348A">
        <w:rPr>
          <w:sz w:val="19"/>
          <w:szCs w:val="19"/>
        </w:rPr>
        <w:t xml:space="preserve"> financial</w:t>
      </w:r>
      <w:r w:rsidRPr="000F348A">
        <w:rPr>
          <w:spacing w:val="-1"/>
          <w:sz w:val="19"/>
          <w:szCs w:val="19"/>
        </w:rPr>
        <w:t xml:space="preserve"> </w:t>
      </w:r>
      <w:r w:rsidRPr="000F348A">
        <w:rPr>
          <w:sz w:val="19"/>
          <w:szCs w:val="19"/>
        </w:rPr>
        <w:t>year.</w:t>
      </w:r>
    </w:p>
    <w:p w14:paraId="47C203A1" w14:textId="77777777" w:rsidR="00B804FE" w:rsidRDefault="00B804FE">
      <w:pPr>
        <w:pStyle w:val="BodyText"/>
        <w:spacing w:before="6"/>
        <w:rPr>
          <w:sz w:val="26"/>
        </w:rPr>
      </w:pPr>
    </w:p>
    <w:p w14:paraId="79121D8A" w14:textId="77777777" w:rsidR="00B804FE" w:rsidRDefault="003C2A60" w:rsidP="000F348A">
      <w:pPr>
        <w:pStyle w:val="Heading1"/>
        <w:ind w:left="426"/>
      </w:pPr>
      <w:r>
        <w:rPr>
          <w:color w:val="FFFFFF"/>
        </w:rPr>
        <w:t>Standard Consumption Charges</w:t>
      </w:r>
    </w:p>
    <w:p w14:paraId="4704201B" w14:textId="2D2AC9F9" w:rsidR="00B804FE" w:rsidRPr="003B2319" w:rsidRDefault="00B7324D" w:rsidP="000F348A">
      <w:pPr>
        <w:spacing w:before="159"/>
        <w:ind w:left="426"/>
        <w:rPr>
          <w:sz w:val="19"/>
          <w:szCs w:val="19"/>
        </w:rPr>
      </w:pPr>
      <w:r w:rsidRPr="003B2319">
        <w:rPr>
          <w:sz w:val="19"/>
          <w:szCs w:val="19"/>
        </w:rPr>
        <w:t xml:space="preserve"> </w:t>
      </w:r>
      <w:r w:rsidR="003C2A60" w:rsidRPr="003B2319">
        <w:rPr>
          <w:sz w:val="19"/>
          <w:szCs w:val="19"/>
        </w:rPr>
        <w:t xml:space="preserve">Bi-annual consumption </w:t>
      </w:r>
      <w:r w:rsidR="003C2A60" w:rsidRPr="003B2319">
        <w:rPr>
          <w:b/>
          <w:sz w:val="19"/>
          <w:szCs w:val="19"/>
        </w:rPr>
        <w:t xml:space="preserve">up to 125kL </w:t>
      </w:r>
      <w:r w:rsidR="003C2A60" w:rsidRPr="003B2319">
        <w:rPr>
          <w:sz w:val="19"/>
          <w:szCs w:val="19"/>
        </w:rPr>
        <w:t>will be charged at</w:t>
      </w:r>
      <w:r w:rsidR="003C2A60" w:rsidRPr="003B2319">
        <w:rPr>
          <w:b/>
          <w:sz w:val="19"/>
          <w:szCs w:val="19"/>
        </w:rPr>
        <w:t xml:space="preserve"> </w:t>
      </w:r>
      <w:r w:rsidR="003B2319" w:rsidRPr="003B2319">
        <w:rPr>
          <w:rFonts w:cs="Arial"/>
          <w:b/>
          <w:sz w:val="19"/>
          <w:szCs w:val="19"/>
        </w:rPr>
        <w:t>$2.</w:t>
      </w:r>
      <w:r w:rsidR="006277D5">
        <w:rPr>
          <w:rFonts w:cs="Arial"/>
          <w:b/>
          <w:sz w:val="19"/>
          <w:szCs w:val="19"/>
        </w:rPr>
        <w:t>23</w:t>
      </w:r>
      <w:r w:rsidR="003B2319" w:rsidRPr="003B2319">
        <w:rPr>
          <w:rFonts w:cs="Arial"/>
          <w:b/>
          <w:sz w:val="19"/>
          <w:szCs w:val="19"/>
        </w:rPr>
        <w:t xml:space="preserve"> </w:t>
      </w:r>
      <w:r w:rsidR="003C2A60" w:rsidRPr="003B2319">
        <w:rPr>
          <w:b/>
          <w:sz w:val="19"/>
          <w:szCs w:val="19"/>
        </w:rPr>
        <w:t>(per kilolitre)</w:t>
      </w:r>
      <w:r w:rsidR="003C2A60" w:rsidRPr="003B2319">
        <w:rPr>
          <w:sz w:val="19"/>
          <w:szCs w:val="19"/>
        </w:rPr>
        <w:t>.</w:t>
      </w:r>
    </w:p>
    <w:p w14:paraId="04509815" w14:textId="52E688F0" w:rsidR="00B804FE" w:rsidRPr="003B2319" w:rsidRDefault="003B2319" w:rsidP="003B2319">
      <w:pPr>
        <w:pStyle w:val="BodyText"/>
        <w:tabs>
          <w:tab w:val="left" w:pos="5565"/>
        </w:tabs>
        <w:spacing w:before="4"/>
        <w:ind w:left="426"/>
      </w:pPr>
      <w:r w:rsidRPr="003B2319">
        <w:tab/>
      </w:r>
    </w:p>
    <w:p w14:paraId="22E7232A" w14:textId="296F2F56" w:rsidR="00B804FE" w:rsidRPr="000F348A" w:rsidRDefault="003C2A60" w:rsidP="000F348A">
      <w:pPr>
        <w:spacing w:line="475" w:lineRule="auto"/>
        <w:ind w:left="426" w:right="2252"/>
        <w:rPr>
          <w:sz w:val="19"/>
          <w:szCs w:val="19"/>
        </w:rPr>
      </w:pPr>
      <w:r w:rsidRPr="003B2319">
        <w:rPr>
          <w:sz w:val="19"/>
          <w:szCs w:val="19"/>
        </w:rPr>
        <w:t xml:space="preserve">Further Bi-annual consumption of </w:t>
      </w:r>
      <w:r w:rsidRPr="003B2319">
        <w:rPr>
          <w:b/>
          <w:sz w:val="19"/>
          <w:szCs w:val="19"/>
        </w:rPr>
        <w:t xml:space="preserve">126kL to 250kL </w:t>
      </w:r>
      <w:r w:rsidRPr="003B2319">
        <w:rPr>
          <w:sz w:val="19"/>
          <w:szCs w:val="19"/>
        </w:rPr>
        <w:t xml:space="preserve">will be charged at </w:t>
      </w:r>
      <w:r w:rsidR="003B2319" w:rsidRPr="003B2319">
        <w:rPr>
          <w:rFonts w:cs="Arial"/>
          <w:b/>
          <w:sz w:val="19"/>
          <w:szCs w:val="19"/>
        </w:rPr>
        <w:t>$2.</w:t>
      </w:r>
      <w:r w:rsidR="006277D5">
        <w:rPr>
          <w:rFonts w:cs="Arial"/>
          <w:b/>
          <w:sz w:val="19"/>
          <w:szCs w:val="19"/>
        </w:rPr>
        <w:t>99</w:t>
      </w:r>
      <w:r w:rsidR="003B2319" w:rsidRPr="003B2319">
        <w:rPr>
          <w:rFonts w:cs="Arial"/>
          <w:b/>
          <w:sz w:val="19"/>
          <w:szCs w:val="19"/>
        </w:rPr>
        <w:t xml:space="preserve"> </w:t>
      </w:r>
      <w:r w:rsidRPr="003B2319">
        <w:rPr>
          <w:b/>
          <w:sz w:val="19"/>
          <w:szCs w:val="19"/>
        </w:rPr>
        <w:t>(per kilolitre)</w:t>
      </w:r>
      <w:r w:rsidRPr="003B2319">
        <w:rPr>
          <w:sz w:val="19"/>
          <w:szCs w:val="19"/>
        </w:rPr>
        <w:t xml:space="preserve">. Further Bi-annual consumption of </w:t>
      </w:r>
      <w:r w:rsidRPr="003B2319">
        <w:rPr>
          <w:b/>
          <w:sz w:val="19"/>
          <w:szCs w:val="19"/>
        </w:rPr>
        <w:t xml:space="preserve">251kL to 15,000kL </w:t>
      </w:r>
      <w:r w:rsidRPr="003B2319">
        <w:rPr>
          <w:sz w:val="19"/>
          <w:szCs w:val="19"/>
        </w:rPr>
        <w:t xml:space="preserve">will be charged at </w:t>
      </w:r>
      <w:r w:rsidR="003B2319" w:rsidRPr="003B2319">
        <w:rPr>
          <w:rFonts w:cs="Arial"/>
          <w:b/>
          <w:sz w:val="19"/>
          <w:szCs w:val="19"/>
        </w:rPr>
        <w:t>$3.</w:t>
      </w:r>
      <w:r w:rsidR="006277D5">
        <w:rPr>
          <w:rFonts w:cs="Arial"/>
          <w:b/>
          <w:sz w:val="19"/>
          <w:szCs w:val="19"/>
        </w:rPr>
        <w:t>70</w:t>
      </w:r>
      <w:r w:rsidR="003B2319" w:rsidRPr="003B2319">
        <w:rPr>
          <w:rFonts w:cs="Arial"/>
          <w:b/>
          <w:sz w:val="19"/>
          <w:szCs w:val="19"/>
        </w:rPr>
        <w:t xml:space="preserve"> </w:t>
      </w:r>
      <w:r w:rsidRPr="003B2319">
        <w:rPr>
          <w:b/>
          <w:sz w:val="19"/>
          <w:szCs w:val="19"/>
        </w:rPr>
        <w:t>(per kilolitre)</w:t>
      </w:r>
      <w:r w:rsidRPr="003B2319">
        <w:rPr>
          <w:sz w:val="19"/>
          <w:szCs w:val="19"/>
        </w:rPr>
        <w:t xml:space="preserve">. Further Bi-annual consumption </w:t>
      </w:r>
      <w:r w:rsidRPr="003B2319">
        <w:rPr>
          <w:b/>
          <w:sz w:val="19"/>
          <w:szCs w:val="19"/>
        </w:rPr>
        <w:t xml:space="preserve">greater than 15,000kL </w:t>
      </w:r>
      <w:r w:rsidRPr="003B2319">
        <w:rPr>
          <w:sz w:val="19"/>
          <w:szCs w:val="19"/>
        </w:rPr>
        <w:t xml:space="preserve">will be charged at </w:t>
      </w:r>
      <w:r w:rsidR="003B2319" w:rsidRPr="003B2319">
        <w:rPr>
          <w:rFonts w:cs="Arial"/>
          <w:b/>
          <w:sz w:val="19"/>
          <w:szCs w:val="19"/>
        </w:rPr>
        <w:t>$5.</w:t>
      </w:r>
      <w:r w:rsidR="006277D5">
        <w:rPr>
          <w:rFonts w:cs="Arial"/>
          <w:b/>
          <w:sz w:val="19"/>
          <w:szCs w:val="19"/>
        </w:rPr>
        <w:t>47</w:t>
      </w:r>
      <w:r w:rsidR="003B2319" w:rsidRPr="003B2319">
        <w:rPr>
          <w:rFonts w:cs="Arial"/>
          <w:b/>
          <w:sz w:val="19"/>
          <w:szCs w:val="19"/>
        </w:rPr>
        <w:t xml:space="preserve"> </w:t>
      </w:r>
      <w:r w:rsidRPr="003B2319">
        <w:rPr>
          <w:b/>
          <w:sz w:val="19"/>
          <w:szCs w:val="19"/>
        </w:rPr>
        <w:t xml:space="preserve">(per </w:t>
      </w:r>
      <w:r w:rsidRPr="000F348A">
        <w:rPr>
          <w:b/>
          <w:sz w:val="19"/>
          <w:szCs w:val="19"/>
        </w:rPr>
        <w:t>kilolitre)</w:t>
      </w:r>
      <w:r w:rsidRPr="000F348A">
        <w:rPr>
          <w:sz w:val="19"/>
          <w:szCs w:val="19"/>
        </w:rPr>
        <w:t>.</w:t>
      </w:r>
    </w:p>
    <w:p w14:paraId="183CCB51" w14:textId="77777777" w:rsidR="00B804FE" w:rsidRDefault="00B804FE">
      <w:pPr>
        <w:pStyle w:val="BodyText"/>
        <w:spacing w:before="5"/>
        <w:rPr>
          <w:sz w:val="18"/>
        </w:rPr>
      </w:pPr>
    </w:p>
    <w:p w14:paraId="6F5099B8" w14:textId="75B3488B" w:rsidR="00B804FE" w:rsidRDefault="003C2A60">
      <w:pPr>
        <w:pStyle w:val="BodyText"/>
        <w:spacing w:line="259" w:lineRule="auto"/>
        <w:ind w:left="355" w:right="2041"/>
        <w:jc w:val="both"/>
      </w:pPr>
      <w:r>
        <w:t>The Communities of Jimbour, Kaimkillenbun, Kogan, Meandarra, Moonie, The Gums and Westmar which receive non-potable water will be charged 90% of the standard consumption charges above.</w:t>
      </w:r>
    </w:p>
    <w:p w14:paraId="02262A00" w14:textId="77777777" w:rsidR="00B804FE" w:rsidRDefault="003C2A60">
      <w:pPr>
        <w:pStyle w:val="BodyText"/>
        <w:spacing w:before="136" w:line="288" w:lineRule="auto"/>
        <w:ind w:left="355" w:right="2252"/>
      </w:pPr>
      <w:r>
        <w:t>The Communities of Brigalow, Dulacca, Flinton and Glenmorgan which receive untreated surface water will be charged 75% of the standard consumption charges above.</w:t>
      </w:r>
    </w:p>
    <w:p w14:paraId="0D25E2BF" w14:textId="77777777" w:rsidR="00B804FE" w:rsidRDefault="00B804FE">
      <w:pPr>
        <w:pStyle w:val="BodyText"/>
        <w:rPr>
          <w:sz w:val="20"/>
        </w:rPr>
      </w:pPr>
    </w:p>
    <w:p w14:paraId="01787B55" w14:textId="6FE49BEF" w:rsidR="00B804FE" w:rsidRDefault="003C2A60">
      <w:pPr>
        <w:ind w:left="375"/>
        <w:jc w:val="both"/>
        <w:rPr>
          <w:sz w:val="17"/>
        </w:rPr>
      </w:pPr>
      <w:r>
        <w:rPr>
          <w:sz w:val="17"/>
        </w:rPr>
        <w:t xml:space="preserve">The above published fees and charges are effective from </w:t>
      </w:r>
      <w:r w:rsidR="003B2319">
        <w:rPr>
          <w:rFonts w:cs="Arial"/>
          <w:sz w:val="17"/>
          <w:szCs w:val="17"/>
        </w:rPr>
        <w:t>1 July 202</w:t>
      </w:r>
      <w:r w:rsidR="006277D5">
        <w:rPr>
          <w:rFonts w:cs="Arial"/>
          <w:sz w:val="17"/>
          <w:szCs w:val="17"/>
        </w:rPr>
        <w:t>4</w:t>
      </w:r>
      <w:r>
        <w:rPr>
          <w:sz w:val="17"/>
        </w:rPr>
        <w:t>. No GST applicable.</w:t>
      </w:r>
    </w:p>
    <w:p w14:paraId="062009FF" w14:textId="77777777" w:rsidR="00B804FE" w:rsidRDefault="003C2A60">
      <w:pPr>
        <w:pStyle w:val="Heading1"/>
        <w:spacing w:before="145"/>
        <w:jc w:val="both"/>
      </w:pPr>
      <w:r>
        <w:t xml:space="preserve">For more information please visit </w:t>
      </w:r>
      <w:hyperlink r:id="rId5">
        <w:r>
          <w:rPr>
            <w:color w:val="0000FF"/>
            <w:u w:val="single" w:color="0000FF"/>
          </w:rPr>
          <w:t>www.wdrc.qld.gov.au</w:t>
        </w:r>
        <w:r>
          <w:rPr>
            <w:color w:val="0000FF"/>
          </w:rPr>
          <w:t xml:space="preserve"> </w:t>
        </w:r>
      </w:hyperlink>
      <w:r>
        <w:t>or contact Council on 1300 268 624.</w:t>
      </w:r>
    </w:p>
    <w:sectPr w:rsidR="00B804FE">
      <w:type w:val="continuous"/>
      <w:pgSz w:w="11910" w:h="16840"/>
      <w:pgMar w:top="680" w:right="1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FE"/>
    <w:rsid w:val="000F348A"/>
    <w:rsid w:val="001377D2"/>
    <w:rsid w:val="001A67BD"/>
    <w:rsid w:val="002B7918"/>
    <w:rsid w:val="00382509"/>
    <w:rsid w:val="003B2319"/>
    <w:rsid w:val="003C2A60"/>
    <w:rsid w:val="0043705F"/>
    <w:rsid w:val="004C4354"/>
    <w:rsid w:val="00536FC7"/>
    <w:rsid w:val="006010DC"/>
    <w:rsid w:val="006277D5"/>
    <w:rsid w:val="00651192"/>
    <w:rsid w:val="009F5671"/>
    <w:rsid w:val="00B7324D"/>
    <w:rsid w:val="00B804FE"/>
    <w:rsid w:val="00DA73D2"/>
    <w:rsid w:val="00EA3785"/>
    <w:rsid w:val="00F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8F84"/>
  <w15:docId w15:val="{030C2D63-30ED-45D8-8CA8-EFD5EE2B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37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drc.qld.gov.a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Hallahan</dc:creator>
  <cp:lastModifiedBy>Maddy Rawlinson</cp:lastModifiedBy>
  <cp:revision>3</cp:revision>
  <cp:lastPrinted>2023-02-10T00:16:00Z</cp:lastPrinted>
  <dcterms:created xsi:type="dcterms:W3CDTF">2024-07-15T01:03:00Z</dcterms:created>
  <dcterms:modified xsi:type="dcterms:W3CDTF">2024-07-15T01:30:00Z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2018-10-17T00:00:00Z</vt:filetime>
  </property>
</Properties>
</file>